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6D" w:rsidRDefault="00D9566D" w:rsidP="00D9566D">
      <w:pPr>
        <w:pStyle w:val="BodyA"/>
        <w:ind w:left="3118" w:hanging="3118"/>
        <w:rPr>
          <w:b/>
          <w:bCs/>
        </w:rPr>
      </w:pPr>
      <w:r>
        <w:rPr>
          <w:b/>
          <w:bCs/>
        </w:rPr>
        <w:t>Sunday 27 October</w:t>
      </w:r>
      <w:bookmarkStart w:id="0" w:name="_GoBack"/>
      <w:bookmarkEnd w:id="0"/>
    </w:p>
    <w:p w:rsidR="00D9566D" w:rsidRDefault="00D9566D" w:rsidP="00D9566D">
      <w:pPr>
        <w:pStyle w:val="BodyA"/>
        <w:ind w:left="3118" w:hanging="3118"/>
        <w:rPr>
          <w:b/>
          <w:bCs/>
        </w:rPr>
      </w:pPr>
    </w:p>
    <w:p w:rsidR="00D9566D" w:rsidRDefault="00D9566D" w:rsidP="00D9566D">
      <w:pPr>
        <w:pStyle w:val="BodyA"/>
        <w:ind w:left="3118" w:hanging="3118"/>
      </w:pPr>
      <w:r>
        <w:rPr>
          <w:lang w:val="it-IT"/>
        </w:rPr>
        <w:t>Jeremiah 3</w:t>
      </w:r>
      <w:r>
        <w:t xml:space="preserve">:17-19 </w:t>
      </w:r>
      <w:r>
        <w:tab/>
        <w:t xml:space="preserve">God will guide Israel, bring the people home. </w:t>
      </w:r>
    </w:p>
    <w:p w:rsidR="00D9566D" w:rsidRDefault="00D9566D" w:rsidP="00D9566D">
      <w:pPr>
        <w:pStyle w:val="BodyA"/>
        <w:ind w:left="3118" w:hanging="3118"/>
      </w:pPr>
      <w:r>
        <w:t xml:space="preserve">Psalm 125(126) </w:t>
      </w:r>
      <w:r>
        <w:tab/>
        <w:t>A prayer of exile and longing</w:t>
      </w:r>
    </w:p>
    <w:p w:rsidR="00D9566D" w:rsidRDefault="00D9566D" w:rsidP="00D9566D">
      <w:pPr>
        <w:pStyle w:val="BodyA"/>
        <w:ind w:left="3118" w:hanging="3118"/>
      </w:pPr>
      <w:r>
        <w:t xml:space="preserve">Hebrews 5:1-6 </w:t>
      </w:r>
      <w:r>
        <w:tab/>
        <w:t>A high priest, in the order of Melchizedek</w:t>
      </w:r>
    </w:p>
    <w:p w:rsidR="00D9566D" w:rsidRDefault="00D9566D" w:rsidP="00D9566D">
      <w:pPr>
        <w:pStyle w:val="BodyA"/>
        <w:ind w:left="3118" w:hanging="3118"/>
        <w:rPr>
          <w:b/>
          <w:bCs/>
          <w:color w:val="0076BA"/>
          <w:u w:color="0076BA"/>
        </w:rPr>
      </w:pPr>
      <w:r>
        <w:t xml:space="preserve">Mark 10:46-52 </w:t>
      </w:r>
      <w:r>
        <w:tab/>
        <w:t xml:space="preserve">Go, your faith has saved you. </w:t>
      </w:r>
    </w:p>
    <w:p w:rsidR="00D9566D" w:rsidRDefault="00D9566D" w:rsidP="00D9566D">
      <w:pPr>
        <w:pStyle w:val="BodyA"/>
        <w:rPr>
          <w:b/>
          <w:bCs/>
          <w:color w:val="0076BA"/>
          <w:u w:color="0076BA"/>
        </w:rPr>
      </w:pPr>
    </w:p>
    <w:p w:rsidR="00D9566D" w:rsidRDefault="00D9566D" w:rsidP="00D9566D">
      <w:pPr>
        <w:pStyle w:val="BodyA"/>
        <w:rPr>
          <w:b/>
          <w:bCs/>
          <w:u w:color="0076BA"/>
        </w:rPr>
      </w:pPr>
      <w:r>
        <w:rPr>
          <w:b/>
          <w:bCs/>
          <w:u w:color="0076BA"/>
        </w:rPr>
        <w:t>Podcast link</w:t>
      </w:r>
    </w:p>
    <w:p w:rsidR="00D9566D" w:rsidRDefault="00D9566D" w:rsidP="00D9566D">
      <w:pPr>
        <w:pStyle w:val="BodyA"/>
        <w:rPr>
          <w:b/>
          <w:bCs/>
          <w:u w:color="0076BA"/>
        </w:rPr>
      </w:pPr>
      <w:r>
        <w:rPr>
          <w:u w:color="0076BA"/>
        </w:rPr>
        <w:t>https://www.buzzsprout.com/2119621/15749269</w:t>
      </w:r>
    </w:p>
    <w:p w:rsidR="00D9566D" w:rsidRDefault="00D9566D" w:rsidP="00D9566D">
      <w:pPr>
        <w:pStyle w:val="BodyA"/>
      </w:pPr>
    </w:p>
    <w:p w:rsidR="00D9566D" w:rsidRDefault="00D9566D" w:rsidP="00D9566D">
      <w:pPr>
        <w:pStyle w:val="BodyA"/>
        <w:numPr>
          <w:ilvl w:val="0"/>
          <w:numId w:val="2"/>
        </w:numPr>
        <w:rPr>
          <w:b/>
          <w:bCs/>
        </w:rPr>
      </w:pPr>
      <w:r>
        <w:rPr>
          <w:b/>
          <w:bCs/>
        </w:rPr>
        <w:t>The Jeremiah Background</w:t>
      </w:r>
    </w:p>
    <w:p w:rsidR="00D9566D" w:rsidRDefault="00D9566D" w:rsidP="00D9566D">
      <w:pPr>
        <w:pStyle w:val="BodyA"/>
        <w:ind w:left="3118" w:hanging="3118"/>
        <w:rPr>
          <w:b/>
          <w:bCs/>
        </w:rPr>
      </w:pPr>
    </w:p>
    <w:p w:rsidR="00D9566D" w:rsidRDefault="00D9566D" w:rsidP="00D9566D">
      <w:pPr>
        <w:pStyle w:val="BodyA"/>
      </w:pPr>
      <w:r>
        <w:t xml:space="preserve">The great exegete Walter </w:t>
      </w:r>
      <w:proofErr w:type="spellStart"/>
      <w:r>
        <w:t>Brueggemann</w:t>
      </w:r>
      <w:proofErr w:type="spellEnd"/>
      <w:r>
        <w:t xml:space="preserve"> distinguishes two “systems”: the royal system and the prophetic system. Those in power promote the royal system of reassurance because it leaves their position of power and exploitation undisturbed. The prophets, by contrast, are called to tell the truth, to name the exploitation, to give God’s perspective on what is happening, to call to conversion of heart and life. In times of apparent well-being, prophets denounce and promise gloom. In times of suffering and hardship, they promise hope and relief. This is not just because prophets were awkward, contrary creatures! The prophets often try to break through the deafening noise of the conventional wisdom to speak a life-changing word of truth. It can</w:t>
      </w:r>
      <w:r>
        <w:rPr>
          <w:rFonts w:ascii="Arial Unicode MS" w:hAnsi="Arial Unicode MS"/>
        </w:rPr>
        <w:t>’</w:t>
      </w:r>
      <w:r>
        <w:t xml:space="preserve">t have been easy to have been a prophet, as Jeremiah regularly complained. Neither was it easy to pay attention to such contrary / contrary voices. In times of prosperity, it was not at all easy to listen to them and to “hear” them. Likewise, in times of hardship, the word of hope must have been especially difficult to hear. </w:t>
      </w:r>
    </w:p>
    <w:p w:rsidR="00D9566D" w:rsidRDefault="00D9566D" w:rsidP="00D9566D">
      <w:pPr>
        <w:pStyle w:val="BodyA"/>
      </w:pPr>
    </w:p>
    <w:p w:rsidR="00D9566D" w:rsidRDefault="00D9566D" w:rsidP="00D9566D">
      <w:pPr>
        <w:pStyle w:val="BodyA"/>
      </w:pPr>
      <w:r>
        <w:t xml:space="preserve">When we read today’s first reading in the context of the time, it sheds light on our time too. The words of Jeremiah were delivered just before the capture and destruction of Jerusalem. We can imagine the feeling of inevitable defeat and deportation, the feeling of sheer dread before the inexorable final onslaught. Into that deep darkness, the prophet speaks a contrary word of light, a message of great hope and even joy. </w:t>
      </w:r>
    </w:p>
    <w:p w:rsidR="00D9566D" w:rsidRDefault="00D9566D" w:rsidP="00D9566D">
      <w:pPr>
        <w:pStyle w:val="BodyA"/>
      </w:pPr>
    </w:p>
    <w:p w:rsidR="00D9566D" w:rsidRDefault="00D9566D" w:rsidP="00D9566D">
      <w:pPr>
        <w:pStyle w:val="BodyA"/>
        <w:ind w:left="720"/>
      </w:pPr>
      <w:r>
        <w:t>The Lord says this:</w:t>
      </w:r>
    </w:p>
    <w:p w:rsidR="00D9566D" w:rsidRDefault="00D9566D" w:rsidP="00D9566D">
      <w:pPr>
        <w:pStyle w:val="BodyA"/>
        <w:ind w:left="720"/>
      </w:pPr>
      <w:r>
        <w:t>Shout with joy for Jacob!</w:t>
      </w:r>
    </w:p>
    <w:p w:rsidR="00D9566D" w:rsidRDefault="00D9566D" w:rsidP="00D9566D">
      <w:pPr>
        <w:pStyle w:val="BodyA"/>
        <w:ind w:left="720"/>
      </w:pPr>
      <w:r>
        <w:t>Hail the chief of nations!</w:t>
      </w:r>
    </w:p>
    <w:p w:rsidR="00D9566D" w:rsidRDefault="00D9566D" w:rsidP="00D9566D">
      <w:pPr>
        <w:pStyle w:val="BodyA"/>
        <w:ind w:left="720"/>
      </w:pPr>
      <w:r>
        <w:t>Proclaim! Praise! Shout:</w:t>
      </w:r>
    </w:p>
    <w:p w:rsidR="00D9566D" w:rsidRDefault="00D9566D" w:rsidP="00D9566D">
      <w:pPr>
        <w:pStyle w:val="BodyA"/>
        <w:ind w:left="720"/>
      </w:pPr>
      <w:r>
        <w:rPr>
          <w:rFonts w:ascii="Arial Unicode MS" w:hAnsi="Arial Unicode MS"/>
        </w:rPr>
        <w:t>‘</w:t>
      </w:r>
      <w:r>
        <w:t>The Lord has saved his people,</w:t>
      </w:r>
    </w:p>
    <w:p w:rsidR="00D9566D" w:rsidRDefault="00D9566D" w:rsidP="00D9566D">
      <w:pPr>
        <w:pStyle w:val="BodyA"/>
        <w:ind w:left="720"/>
      </w:pPr>
      <w:r>
        <w:t>the remnant of Israel!</w:t>
      </w:r>
      <w:r>
        <w:rPr>
          <w:rFonts w:ascii="Arial Unicode MS" w:hAnsi="Arial Unicode MS"/>
        </w:rPr>
        <w:t>’</w:t>
      </w:r>
    </w:p>
    <w:p w:rsidR="00D9566D" w:rsidRDefault="00D9566D" w:rsidP="00D9566D">
      <w:pPr>
        <w:pStyle w:val="BodyA"/>
      </w:pPr>
    </w:p>
    <w:p w:rsidR="00D9566D" w:rsidRDefault="00D9566D" w:rsidP="00D9566D">
      <w:pPr>
        <w:pStyle w:val="BodyA"/>
      </w:pPr>
      <w:r>
        <w:t>How impossible it must have seemed at the time! And yet, they did return and God did bring them safely home.</w:t>
      </w:r>
    </w:p>
    <w:p w:rsidR="00D9566D" w:rsidRDefault="00D9566D" w:rsidP="00D9566D">
      <w:pPr>
        <w:pStyle w:val="BodyA"/>
        <w:ind w:left="3118" w:hanging="3118"/>
        <w:rPr>
          <w:b/>
          <w:bCs/>
        </w:rPr>
      </w:pPr>
    </w:p>
    <w:p w:rsidR="00D9566D" w:rsidRDefault="00D9566D" w:rsidP="00D9566D">
      <w:pPr>
        <w:pStyle w:val="BodyA"/>
        <w:ind w:left="3118" w:hanging="3118"/>
        <w:rPr>
          <w:b/>
          <w:bCs/>
        </w:rPr>
      </w:pPr>
      <w:r>
        <w:t xml:space="preserve">(ii) </w:t>
      </w:r>
      <w:r>
        <w:rPr>
          <w:b/>
          <w:bCs/>
        </w:rPr>
        <w:t>The culture of today</w:t>
      </w:r>
    </w:p>
    <w:p w:rsidR="00D9566D" w:rsidRDefault="00D9566D" w:rsidP="00D9566D">
      <w:pPr>
        <w:pStyle w:val="BodyA"/>
        <w:ind w:left="3118" w:hanging="3118"/>
        <w:rPr>
          <w:b/>
          <w:bCs/>
        </w:rPr>
      </w:pPr>
    </w:p>
    <w:p w:rsidR="00D9566D" w:rsidRDefault="00D9566D" w:rsidP="00D9566D">
      <w:pPr>
        <w:pStyle w:val="BodyA"/>
      </w:pPr>
      <w:r>
        <w:t xml:space="preserve">We live at a time of the greatest anxiety — climate, war, politics, migration — a time when it is easy to be stressed and disheartened. As a Church, we try to live in the real world and that sense of worldly grief can affect us too. As Paul teaches, </w:t>
      </w:r>
    </w:p>
    <w:p w:rsidR="00D9566D" w:rsidRDefault="00D9566D" w:rsidP="00D9566D">
      <w:pPr>
        <w:pStyle w:val="BodyA"/>
      </w:pPr>
    </w:p>
    <w:p w:rsidR="00D9566D" w:rsidRDefault="00D9566D" w:rsidP="00D9566D">
      <w:pPr>
        <w:pStyle w:val="BodyA"/>
        <w:ind w:left="720"/>
      </w:pPr>
      <w:r>
        <w:t>For sadness as intended by God produces a conversion that leads to salvation, leaving no regret, but worldly sadness brings about death. (2 Corinthians 7:10)</w:t>
      </w:r>
    </w:p>
    <w:p w:rsidR="00D9566D" w:rsidRDefault="00D9566D" w:rsidP="00D9566D">
      <w:pPr>
        <w:pStyle w:val="BodyA"/>
        <w:ind w:left="720"/>
        <w:rPr>
          <w:b/>
          <w:bCs/>
        </w:rPr>
      </w:pPr>
    </w:p>
    <w:p w:rsidR="00D9566D" w:rsidRDefault="00D9566D" w:rsidP="00D9566D">
      <w:pPr>
        <w:pStyle w:val="BodyA"/>
      </w:pPr>
      <w:r>
        <w:lastRenderedPageBreak/>
        <w:t xml:space="preserve">As a church, we are undergoing a long period of what we may call ecclesiastical recession or rather purification. One way of being church is disappearing (it wasn’t all joy and light anyway, as we have sadly learned). We all know the symptoms and signs and they require no detailed rehearsal. We also know the feeling of helplessness, lack of direction and the sheer not knowing what will be in the future. Even the great hope engendered by the </w:t>
      </w:r>
      <w:proofErr w:type="spellStart"/>
      <w:r>
        <w:t>Synodal</w:t>
      </w:r>
      <w:proofErr w:type="spellEnd"/>
      <w:r>
        <w:t xml:space="preserve"> Pathway can seem more a mirage than a real destination.  </w:t>
      </w:r>
    </w:p>
    <w:p w:rsidR="00D9566D" w:rsidRDefault="00D9566D" w:rsidP="00D9566D">
      <w:pPr>
        <w:pStyle w:val="BodyA"/>
        <w:ind w:left="3118" w:hanging="3118"/>
      </w:pPr>
    </w:p>
    <w:p w:rsidR="00D9566D" w:rsidRDefault="00D9566D" w:rsidP="00D9566D">
      <w:pPr>
        <w:pStyle w:val="BodyA"/>
        <w:ind w:left="3118" w:hanging="3118"/>
        <w:rPr>
          <w:b/>
          <w:bCs/>
        </w:rPr>
      </w:pPr>
      <w:r>
        <w:t xml:space="preserve">(iii) </w:t>
      </w:r>
      <w:r>
        <w:rPr>
          <w:b/>
          <w:bCs/>
        </w:rPr>
        <w:t>Reflections from today</w:t>
      </w:r>
      <w:r>
        <w:rPr>
          <w:rFonts w:ascii="Arial Unicode MS" w:hAnsi="Arial Unicode MS"/>
        </w:rPr>
        <w:t>’</w:t>
      </w:r>
      <w:r>
        <w:rPr>
          <w:b/>
          <w:bCs/>
        </w:rPr>
        <w:t>s readings</w:t>
      </w:r>
    </w:p>
    <w:p w:rsidR="00D9566D" w:rsidRDefault="00D9566D" w:rsidP="00D9566D">
      <w:pPr>
        <w:pStyle w:val="BodyA"/>
        <w:ind w:left="3118" w:hanging="3118"/>
        <w:rPr>
          <w:b/>
          <w:bCs/>
        </w:rPr>
      </w:pPr>
    </w:p>
    <w:p w:rsidR="00D9566D" w:rsidRDefault="00D9566D" w:rsidP="00D9566D">
      <w:pPr>
        <w:pStyle w:val="BodyA"/>
      </w:pPr>
      <w:r>
        <w:t>Now is the time to listen to the word of Jeremiah in our time, hard and all as it may be to hear. The conventional narrative is one of inevitable, inexorable decline, accompanied by feelings helplessness and worldly gloom. Jeremiah, were he alive today, would literally shout at us: God will never abandon his people or his project of the Good News in Jesus. In the words of Jesus at the end of Matthew’s Gospel: “And remember, I am with you always, to the end of the age.” (Matthew 28:20) There is much to be done and much to be changed. But nothing will ever “separate us from the love of God in Christ Jesus our Lord.”</w:t>
      </w:r>
      <w:r>
        <w:rPr>
          <w:rFonts w:ascii="Helvetica Neue" w:hAnsi="Helvetica Neue"/>
          <w:lang w:val="it-IT"/>
        </w:rPr>
        <w:t xml:space="preserve"> (Romans 8:39)</w:t>
      </w:r>
      <w:r>
        <w:t>. The church has always been evolving, letting go of what seemed at one time essential and discovering new ways to respond to God. Here, history is the great teacher. The time of apparent crisis has always the time of opportunity.</w:t>
      </w:r>
    </w:p>
    <w:p w:rsidR="00D9566D" w:rsidRDefault="00D9566D" w:rsidP="00D9566D">
      <w:pPr>
        <w:pStyle w:val="BodyA"/>
      </w:pPr>
    </w:p>
    <w:p w:rsidR="00D9566D" w:rsidRDefault="00D9566D" w:rsidP="00D9566D">
      <w:pPr>
        <w:pStyle w:val="BodyA"/>
      </w:pPr>
      <w:proofErr w:type="spellStart"/>
      <w:r>
        <w:t>Bartimaeus</w:t>
      </w:r>
      <w:proofErr w:type="spellEnd"/>
      <w:r>
        <w:t xml:space="preserve"> can teach us to regain our sight. He knew he was blind. He took the initiative of approaching Jesus. He named his hope. The moments of the conversation are worth pondering: </w:t>
      </w:r>
    </w:p>
    <w:p w:rsidR="00D9566D" w:rsidRDefault="00D9566D" w:rsidP="00D9566D">
      <w:pPr>
        <w:pStyle w:val="BodyA"/>
      </w:pPr>
    </w:p>
    <w:p w:rsidR="00D9566D" w:rsidRDefault="00D9566D" w:rsidP="00D9566D">
      <w:pPr>
        <w:pStyle w:val="BodyA"/>
      </w:pPr>
      <w:r>
        <w:rPr>
          <w:rFonts w:ascii="Arial Unicode MS" w:hAnsi="Arial Unicode MS"/>
          <w:rtl/>
          <w:lang w:val="ar-SA"/>
        </w:rPr>
        <w:t>“</w:t>
      </w:r>
      <w:r>
        <w:t xml:space="preserve">What do you want me to do for you?” </w:t>
      </w:r>
    </w:p>
    <w:p w:rsidR="00D9566D" w:rsidRDefault="00D9566D" w:rsidP="00D9566D">
      <w:pPr>
        <w:pStyle w:val="BodyA"/>
      </w:pPr>
      <w:r>
        <w:rPr>
          <w:rFonts w:ascii="Arial Unicode MS" w:hAnsi="Arial Unicode MS"/>
          <w:rtl/>
          <w:lang w:val="ar-SA"/>
        </w:rPr>
        <w:t>“</w:t>
      </w:r>
      <w:r>
        <w:t xml:space="preserve">Rabbi, let me see again.” </w:t>
      </w:r>
    </w:p>
    <w:p w:rsidR="00D9566D" w:rsidRDefault="00D9566D" w:rsidP="00D9566D">
      <w:pPr>
        <w:pStyle w:val="BodyA"/>
      </w:pPr>
      <w:r>
        <w:rPr>
          <w:rFonts w:ascii="Arial Unicode MS" w:hAnsi="Arial Unicode MS"/>
          <w:rtl/>
          <w:lang w:val="ar-SA"/>
        </w:rPr>
        <w:t>“</w:t>
      </w:r>
      <w:r>
        <w:t>Go, your faith has healed you.”</w:t>
      </w:r>
    </w:p>
    <w:p w:rsidR="00D9566D" w:rsidRDefault="00D9566D" w:rsidP="00D9566D">
      <w:pPr>
        <w:pStyle w:val="BodyA"/>
      </w:pPr>
    </w:p>
    <w:p w:rsidR="00D9566D" w:rsidRDefault="00D9566D" w:rsidP="00D9566D">
      <w:pPr>
        <w:pStyle w:val="BodyA"/>
      </w:pPr>
      <w:r>
        <w:t xml:space="preserve">Jesus poses the same question to us today on our </w:t>
      </w:r>
      <w:proofErr w:type="spellStart"/>
      <w:r>
        <w:t>Synodal</w:t>
      </w:r>
      <w:proofErr w:type="spellEnd"/>
      <w:r>
        <w:t xml:space="preserve"> Pathway: What do you want me to do for you? Could there be a better question? In our spiritual conversations, we are asked to name our need(s). In spite of all the differences among us, all of us in the church want the Gospel project to be alive again, to become a source of life for us and for all. We may have different ways of seeing how that may come about, but there is surely commonality and communion in the basic desire for the Gospel to come alive in our time. As we put words on our hopes, we are also asked to turn to the Lord himself in need: “Rabbi, Lord Jesus, let me, let us see again.” If we keep grounding ourselves in the Word and in the Spirt, we may avoid falling into the trap of “parliamentarianism”, a distraction from the authentic path of discernment and communion. Then we may hear the wonderful </w:t>
      </w:r>
      <w:proofErr w:type="gramStart"/>
      <w:r>
        <w:t>words,</w:t>
      </w:r>
      <w:r>
        <w:rPr>
          <w:rFonts w:ascii="Arial Unicode MS" w:hAnsi="Arial Unicode MS"/>
          <w:rtl/>
          <w:lang w:val="ar-SA"/>
        </w:rPr>
        <w:t>“</w:t>
      </w:r>
      <w:proofErr w:type="gramEnd"/>
      <w:r>
        <w:t xml:space="preserve">Go, your faith has healed you.” Then we may join </w:t>
      </w:r>
      <w:proofErr w:type="spellStart"/>
      <w:r>
        <w:t>Bartimaeus</w:t>
      </w:r>
      <w:proofErr w:type="spellEnd"/>
      <w:r>
        <w:t xml:space="preserve"> as he followed Jesus on The Way (not “on the road”, as in most translations). May it be so! Amen!</w:t>
      </w:r>
    </w:p>
    <w:p w:rsidR="00D9566D" w:rsidRDefault="00D9566D" w:rsidP="00D9566D">
      <w:pPr>
        <w:pStyle w:val="BodyA"/>
      </w:pPr>
      <w:r>
        <w:t xml:space="preserve"> </w:t>
      </w:r>
    </w:p>
    <w:p w:rsidR="00734FBA" w:rsidRDefault="00A5428A"/>
    <w:sectPr w:rsidR="00734FBA">
      <w:headerReference w:type="default" r:id="rId5"/>
      <w:footerReference w:type="default" r:id="rId6"/>
      <w:pgSz w:w="11900" w:h="16840"/>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32" w:rsidRDefault="00A5428A">
    <w:pPr>
      <w:pStyle w:val="Header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232" w:rsidRDefault="00A5428A">
    <w:pPr>
      <w:pStyle w:val="HeaderFooter"/>
      <w:tabs>
        <w:tab w:val="clear" w:pos="9020"/>
        <w:tab w:val="center" w:pos="4819"/>
        <w:tab w:val="right" w:pos="9612"/>
      </w:tabs>
    </w:pPr>
    <w:r>
      <w:rPr>
        <w:sz w:val="20"/>
        <w:szCs w:val="20"/>
      </w:rPr>
      <w:tab/>
    </w:r>
    <w:r>
      <w:rPr>
        <w:sz w:val="20"/>
        <w:szCs w:val="20"/>
      </w:rPr>
      <w:fldChar w:fldCharType="begin"/>
    </w:r>
    <w:r>
      <w:rPr>
        <w:sz w:val="20"/>
        <w:szCs w:val="20"/>
      </w:rPr>
      <w:instrText xml:space="preserve"> PAGE </w:instrText>
    </w:r>
    <w:r>
      <w:rPr>
        <w:sz w:val="20"/>
        <w:szCs w:val="20"/>
      </w:rPr>
      <w:fldChar w:fldCharType="separate"/>
    </w:r>
    <w:r w:rsidR="00D9566D">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D3968"/>
    <w:multiLevelType w:val="hybridMultilevel"/>
    <w:tmpl w:val="F154BECE"/>
    <w:styleLink w:val="Lettered"/>
    <w:lvl w:ilvl="0" w:tplc="92DA20EA">
      <w:start w:val="1"/>
      <w:numFmt w:val="lowerRoman"/>
      <w:lvlText w:val="(%1)"/>
      <w:lvlJc w:val="left"/>
      <w:pPr>
        <w:tabs>
          <w:tab w:val="num" w:pos="393"/>
        </w:tabs>
        <w:ind w:left="35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1" w:tplc="3BD842EC">
      <w:start w:val="1"/>
      <w:numFmt w:val="lowerRoman"/>
      <w:lvlText w:val="(%2)"/>
      <w:lvlJc w:val="left"/>
      <w:pPr>
        <w:tabs>
          <w:tab w:val="left" w:pos="393"/>
          <w:tab w:val="num" w:pos="753"/>
        </w:tabs>
        <w:ind w:left="38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2" w:tplc="CAA0072A">
      <w:start w:val="1"/>
      <w:numFmt w:val="lowerRoman"/>
      <w:lvlText w:val="(%3)"/>
      <w:lvlJc w:val="left"/>
      <w:pPr>
        <w:tabs>
          <w:tab w:val="left" w:pos="393"/>
          <w:tab w:val="num" w:pos="1113"/>
        </w:tabs>
        <w:ind w:left="42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3" w:tplc="33B075A8">
      <w:start w:val="1"/>
      <w:numFmt w:val="lowerRoman"/>
      <w:lvlText w:val="(%4)"/>
      <w:lvlJc w:val="left"/>
      <w:pPr>
        <w:tabs>
          <w:tab w:val="left" w:pos="393"/>
          <w:tab w:val="num" w:pos="1473"/>
        </w:tabs>
        <w:ind w:left="459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4" w:tplc="40E028FA">
      <w:start w:val="1"/>
      <w:numFmt w:val="lowerRoman"/>
      <w:lvlText w:val="(%5)"/>
      <w:lvlJc w:val="left"/>
      <w:pPr>
        <w:tabs>
          <w:tab w:val="left" w:pos="393"/>
          <w:tab w:val="num" w:pos="1833"/>
        </w:tabs>
        <w:ind w:left="495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5" w:tplc="608EB8D8">
      <w:start w:val="1"/>
      <w:numFmt w:val="lowerRoman"/>
      <w:lvlText w:val="(%6)"/>
      <w:lvlJc w:val="left"/>
      <w:pPr>
        <w:tabs>
          <w:tab w:val="left" w:pos="393"/>
          <w:tab w:val="num" w:pos="2193"/>
        </w:tabs>
        <w:ind w:left="531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6" w:tplc="E97CD126">
      <w:start w:val="1"/>
      <w:numFmt w:val="lowerRoman"/>
      <w:lvlText w:val="(%7)"/>
      <w:lvlJc w:val="left"/>
      <w:pPr>
        <w:tabs>
          <w:tab w:val="left" w:pos="393"/>
          <w:tab w:val="num" w:pos="2553"/>
        </w:tabs>
        <w:ind w:left="567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7" w:tplc="20FA9EF4">
      <w:start w:val="1"/>
      <w:numFmt w:val="lowerRoman"/>
      <w:lvlText w:val="(%8)"/>
      <w:lvlJc w:val="left"/>
      <w:pPr>
        <w:tabs>
          <w:tab w:val="left" w:pos="393"/>
          <w:tab w:val="num" w:pos="2913"/>
        </w:tabs>
        <w:ind w:left="6031" w:hanging="3511"/>
      </w:pPr>
      <w:rPr>
        <w:rFonts w:hAnsi="Arial Unicode MS"/>
        <w:b/>
        <w:bCs/>
        <w:caps w:val="0"/>
        <w:smallCaps w:val="0"/>
        <w:strike w:val="0"/>
        <w:dstrike w:val="0"/>
        <w:outline w:val="0"/>
        <w:emboss w:val="0"/>
        <w:imprint w:val="0"/>
        <w:spacing w:val="0"/>
        <w:w w:val="100"/>
        <w:kern w:val="0"/>
        <w:position w:val="0"/>
        <w:highlight w:val="none"/>
        <w:vertAlign w:val="baseline"/>
      </w:rPr>
    </w:lvl>
    <w:lvl w:ilvl="8" w:tplc="665C598A">
      <w:start w:val="1"/>
      <w:numFmt w:val="lowerRoman"/>
      <w:lvlText w:val="(%9)"/>
      <w:lvlJc w:val="left"/>
      <w:pPr>
        <w:tabs>
          <w:tab w:val="left" w:pos="393"/>
          <w:tab w:val="num" w:pos="3273"/>
        </w:tabs>
        <w:ind w:left="6391" w:hanging="35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CA3A0D"/>
    <w:multiLevelType w:val="hybridMultilevel"/>
    <w:tmpl w:val="F154BECE"/>
    <w:numStyleLink w:val="Lettered"/>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6D"/>
    <w:rsid w:val="004B7263"/>
    <w:rsid w:val="00515EBA"/>
    <w:rsid w:val="00D956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5EE9"/>
  <w15:chartTrackingRefBased/>
  <w15:docId w15:val="{FD47373F-9D45-4FCC-AE41-C0344DE4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566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9566D"/>
    <w:pPr>
      <w:pBdr>
        <w:top w:val="nil"/>
        <w:left w:val="nil"/>
        <w:bottom w:val="nil"/>
        <w:right w:val="nil"/>
        <w:between w:val="nil"/>
        <w:bar w:val="nil"/>
      </w:pBdr>
      <w:tabs>
        <w:tab w:val="right" w:pos="9020"/>
      </w:tabs>
      <w:spacing w:after="0" w:line="240" w:lineRule="auto"/>
    </w:pPr>
    <w:rPr>
      <w:rFonts w:ascii="Trebuchet MS" w:eastAsia="Arial Unicode MS" w:hAnsi="Trebuchet MS" w:cs="Arial Unicode MS"/>
      <w:color w:val="000000"/>
      <w:sz w:val="26"/>
      <w:szCs w:val="26"/>
      <w:u w:color="000000"/>
      <w:bdr w:val="nil"/>
      <w:lang w:eastAsia="en-IE"/>
      <w14:textOutline w14:w="12700" w14:cap="flat" w14:cmpd="sng" w14:algn="ctr">
        <w14:noFill/>
        <w14:prstDash w14:val="solid"/>
        <w14:miter w14:lim="400000"/>
      </w14:textOutline>
    </w:rPr>
  </w:style>
  <w:style w:type="paragraph" w:customStyle="1" w:styleId="BodyA">
    <w:name w:val="Body A"/>
    <w:rsid w:val="00D9566D"/>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en-US" w:eastAsia="en-IE"/>
      <w14:textOutline w14:w="12700" w14:cap="flat" w14:cmpd="sng" w14:algn="ctr">
        <w14:noFill/>
        <w14:prstDash w14:val="solid"/>
        <w14:miter w14:lim="400000"/>
      </w14:textOutline>
    </w:rPr>
  </w:style>
  <w:style w:type="numbering" w:customStyle="1" w:styleId="Lettered">
    <w:name w:val="Lettered"/>
    <w:rsid w:val="00D9566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Henry</dc:creator>
  <cp:keywords/>
  <dc:description/>
  <cp:lastModifiedBy>Peter Henry</cp:lastModifiedBy>
  <cp:revision>2</cp:revision>
  <dcterms:created xsi:type="dcterms:W3CDTF">2024-10-22T14:58:00Z</dcterms:created>
  <dcterms:modified xsi:type="dcterms:W3CDTF">2024-10-22T14:58:00Z</dcterms:modified>
</cp:coreProperties>
</file>