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2AF" w:rsidRDefault="00F022AF" w:rsidP="00F022AF">
      <w:pPr>
        <w:pStyle w:val="BodyA"/>
        <w:rPr>
          <w:b/>
          <w:bCs/>
        </w:rPr>
      </w:pPr>
      <w:bookmarkStart w:id="0" w:name="_GoBack"/>
      <w:r>
        <w:rPr>
          <w:b/>
          <w:bCs/>
        </w:rPr>
        <w:t>PREACHING THE SUNDAY READINGS DURING THE SYNOD</w:t>
      </w:r>
    </w:p>
    <w:bookmarkEnd w:id="0"/>
    <w:p w:rsidR="00F022AF" w:rsidRDefault="00F022AF" w:rsidP="00F022AF">
      <w:pPr>
        <w:pStyle w:val="BodyA"/>
        <w:rPr>
          <w:b/>
          <w:bCs/>
        </w:rPr>
      </w:pPr>
      <w:r>
        <w:rPr>
          <w:b/>
          <w:bCs/>
        </w:rPr>
        <w:t>Sunday Liturgy and the Synod October 2024</w:t>
      </w:r>
    </w:p>
    <w:p w:rsidR="00F022AF" w:rsidRDefault="00F022AF" w:rsidP="00F022AF">
      <w:pPr>
        <w:pStyle w:val="BodyA"/>
      </w:pPr>
      <w:r>
        <w:t>Kieran J. O’Mahony OSA</w:t>
      </w:r>
    </w:p>
    <w:p w:rsidR="00F022AF" w:rsidRDefault="00F022AF" w:rsidP="00F022AF">
      <w:pPr>
        <w:pStyle w:val="BodyA"/>
      </w:pPr>
    </w:p>
    <w:p w:rsidR="00F022AF" w:rsidRDefault="00F022AF" w:rsidP="00F022AF">
      <w:pPr>
        <w:pStyle w:val="BodyA"/>
        <w:ind w:left="2835" w:hanging="2835"/>
        <w:rPr>
          <w:b/>
          <w:bCs/>
        </w:rPr>
      </w:pPr>
    </w:p>
    <w:p w:rsidR="00F022AF" w:rsidRDefault="00F022AF" w:rsidP="00F022AF">
      <w:pPr>
        <w:pStyle w:val="BodyA"/>
        <w:ind w:left="2835" w:hanging="2835"/>
        <w:rPr>
          <w:b/>
          <w:bCs/>
        </w:rPr>
      </w:pPr>
    </w:p>
    <w:p w:rsidR="00F022AF" w:rsidRDefault="00F022AF" w:rsidP="00F022AF">
      <w:pPr>
        <w:pStyle w:val="BodyA"/>
        <w:ind w:left="2835" w:hanging="2835"/>
        <w:rPr>
          <w:b/>
          <w:bCs/>
        </w:rPr>
      </w:pPr>
      <w:r>
        <w:rPr>
          <w:b/>
          <w:bCs/>
        </w:rPr>
        <w:t>(1) Sunday 6 October</w:t>
      </w:r>
    </w:p>
    <w:p w:rsidR="00F022AF" w:rsidRDefault="00F022AF" w:rsidP="00F022AF">
      <w:pPr>
        <w:pStyle w:val="BodyA"/>
        <w:ind w:left="2835" w:hanging="2835"/>
      </w:pPr>
    </w:p>
    <w:p w:rsidR="00F022AF" w:rsidRDefault="00F022AF" w:rsidP="00F022AF">
      <w:pPr>
        <w:pStyle w:val="BodyA"/>
        <w:ind w:left="3118" w:hanging="3118"/>
      </w:pPr>
      <w:r>
        <w:t xml:space="preserve">Genesis 2:18-24 </w:t>
      </w:r>
      <w:r>
        <w:tab/>
        <w:t>Man and woman become one body</w:t>
      </w:r>
    </w:p>
    <w:p w:rsidR="00F022AF" w:rsidRDefault="00F022AF" w:rsidP="00F022AF">
      <w:pPr>
        <w:pStyle w:val="BodyA"/>
        <w:ind w:left="3118" w:hanging="3118"/>
      </w:pPr>
      <w:r>
        <w:t>Psalm 127(128)</w:t>
      </w:r>
      <w:r>
        <w:tab/>
        <w:t>The blessing of family and children</w:t>
      </w:r>
    </w:p>
    <w:p w:rsidR="00F022AF" w:rsidRDefault="00F022AF" w:rsidP="00F022AF">
      <w:pPr>
        <w:pStyle w:val="BodyA"/>
        <w:ind w:left="3118" w:hanging="3118"/>
        <w:rPr>
          <w:b/>
          <w:bCs/>
        </w:rPr>
      </w:pPr>
      <w:r>
        <w:t xml:space="preserve">Hebrews 2:9-11 </w:t>
      </w:r>
      <w:r>
        <w:tab/>
        <w:t>Jesus can help us because he is like us</w:t>
      </w:r>
    </w:p>
    <w:p w:rsidR="00F022AF" w:rsidRDefault="00F022AF" w:rsidP="00F022AF">
      <w:pPr>
        <w:pStyle w:val="BodyA"/>
        <w:ind w:left="3118" w:hanging="3118"/>
      </w:pPr>
      <w:r>
        <w:t>Mark 10:2-16</w:t>
      </w:r>
      <w:r>
        <w:tab/>
        <w:t>Marriage: what God has united, we must not divide</w:t>
      </w:r>
    </w:p>
    <w:p w:rsidR="00F022AF" w:rsidRDefault="00F022AF" w:rsidP="00F022AF">
      <w:pPr>
        <w:pStyle w:val="BodyA"/>
        <w:ind w:left="3118" w:hanging="3118"/>
      </w:pPr>
    </w:p>
    <w:p w:rsidR="00F022AF" w:rsidRDefault="00F022AF" w:rsidP="00F022AF">
      <w:pPr>
        <w:pStyle w:val="BodyA"/>
        <w:ind w:left="3118" w:hanging="3118"/>
        <w:rPr>
          <w:b/>
          <w:bCs/>
        </w:rPr>
      </w:pPr>
      <w:r>
        <w:rPr>
          <w:b/>
          <w:bCs/>
        </w:rPr>
        <w:t>Podcast link</w:t>
      </w:r>
    </w:p>
    <w:p w:rsidR="00F022AF" w:rsidRDefault="00064691" w:rsidP="00F022AF">
      <w:pPr>
        <w:pStyle w:val="BodyA"/>
        <w:ind w:left="3118" w:hanging="3118"/>
      </w:pPr>
      <w:hyperlink r:id="rId5" w:history="1">
        <w:r w:rsidRPr="00CE7262">
          <w:rPr>
            <w:rStyle w:val="Hyperlink"/>
          </w:rPr>
          <w:t>https://www.buzzsprout.com/2119621/</w:t>
        </w:r>
        <w:r w:rsidRPr="00CE7262">
          <w:rPr>
            <w:rStyle w:val="Hyperlink"/>
          </w:rPr>
          <w:t>1</w:t>
        </w:r>
        <w:r w:rsidRPr="00CE7262">
          <w:rPr>
            <w:rStyle w:val="Hyperlink"/>
          </w:rPr>
          <w:t>5749221</w:t>
        </w:r>
      </w:hyperlink>
    </w:p>
    <w:p w:rsidR="00F022AF" w:rsidRDefault="00F022AF" w:rsidP="00F022AF">
      <w:pPr>
        <w:pStyle w:val="BodyA"/>
        <w:ind w:left="3118" w:hanging="3118"/>
      </w:pPr>
    </w:p>
    <w:p w:rsidR="00F022AF" w:rsidRDefault="00F022AF" w:rsidP="00F022AF">
      <w:pPr>
        <w:pStyle w:val="BodyA"/>
        <w:ind w:left="3118" w:hanging="3118"/>
        <w:rPr>
          <w:b/>
          <w:bCs/>
        </w:rPr>
      </w:pPr>
      <w:r>
        <w:t>(</w:t>
      </w:r>
      <w:proofErr w:type="spellStart"/>
      <w:r>
        <w:t>i</w:t>
      </w:r>
      <w:proofErr w:type="spellEnd"/>
      <w:r>
        <w:t xml:space="preserve">) </w:t>
      </w:r>
      <w:r>
        <w:rPr>
          <w:b/>
          <w:bCs/>
        </w:rPr>
        <w:t>The Gospel Background</w:t>
      </w:r>
    </w:p>
    <w:p w:rsidR="00F022AF" w:rsidRDefault="00F022AF" w:rsidP="00F022AF">
      <w:pPr>
        <w:pStyle w:val="BodyA"/>
        <w:ind w:left="3118" w:hanging="3118"/>
      </w:pPr>
    </w:p>
    <w:p w:rsidR="00F022AF" w:rsidRDefault="00F022AF" w:rsidP="00F022AF">
      <w:pPr>
        <w:pStyle w:val="BodyA"/>
      </w:pPr>
      <w:r>
        <w:t xml:space="preserve">For these reflections, inspiration will be drawn from the Gospel and the corresponding Old Testament reading. A few observations about the Gospel according to Mark will not be out of place. </w:t>
      </w:r>
    </w:p>
    <w:p w:rsidR="00F022AF" w:rsidRDefault="00F022AF" w:rsidP="00F022AF">
      <w:pPr>
        <w:pStyle w:val="BodyA"/>
      </w:pPr>
    </w:p>
    <w:p w:rsidR="00F022AF" w:rsidRDefault="00F022AF" w:rsidP="00F022AF">
      <w:pPr>
        <w:pStyle w:val="BodyA"/>
      </w:pPr>
      <w:r>
        <w:t xml:space="preserve">This year, we have been reading from the shortest (16 chapters) and the earliest Gospel (Matthew and Luke are really expanded editions). The great innovation of Mark was to write a kind of “life of Jesus,” while making use of the biographical conventions of the day. Most likely for catechetical reasons, Mark compresses the ministry of Jesus into one year, with only one Passover (followed by Matthew and Luke but notably not by John, who in this case is most likely </w:t>
      </w:r>
      <w:proofErr w:type="spellStart"/>
      <w:r>
        <w:rPr>
          <w:lang w:val="es-ES_tradnl"/>
        </w:rPr>
        <w:t>correct</w:t>
      </w:r>
      <w:proofErr w:type="spellEnd"/>
      <w:r>
        <w:t xml:space="preserve"> historically).</w:t>
      </w:r>
    </w:p>
    <w:p w:rsidR="00F022AF" w:rsidRDefault="00F022AF" w:rsidP="00F022AF">
      <w:pPr>
        <w:pStyle w:val="BodyA"/>
      </w:pPr>
    </w:p>
    <w:p w:rsidR="00F022AF" w:rsidRDefault="00F022AF" w:rsidP="00F022AF">
      <w:pPr>
        <w:pStyle w:val="BodyA"/>
      </w:pPr>
      <w:r>
        <w:t>The first 90 years of the emerging church have been usefully “mapped” in a sociological manner as follows:</w:t>
      </w:r>
    </w:p>
    <w:p w:rsidR="00F022AF" w:rsidRDefault="00F022AF" w:rsidP="00F022AF">
      <w:pPr>
        <w:pStyle w:val="BodyA"/>
      </w:pPr>
    </w:p>
    <w:p w:rsidR="00F022AF" w:rsidRDefault="00F022AF" w:rsidP="00F022AF">
      <w:pPr>
        <w:pStyle w:val="BodyA"/>
        <w:ind w:left="720"/>
      </w:pPr>
      <w:r>
        <w:t xml:space="preserve">The period of charism (c. </w:t>
      </w:r>
      <w:r>
        <w:rPr>
          <w:smallCaps/>
        </w:rPr>
        <w:t>ad</w:t>
      </w:r>
      <w:r>
        <w:t xml:space="preserve"> 30-60)</w:t>
      </w:r>
    </w:p>
    <w:p w:rsidR="00F022AF" w:rsidRDefault="00F022AF" w:rsidP="00F022AF">
      <w:pPr>
        <w:pStyle w:val="BodyA"/>
        <w:ind w:left="720"/>
      </w:pPr>
      <w:r>
        <w:t xml:space="preserve">The period of memory (c. </w:t>
      </w:r>
      <w:r>
        <w:rPr>
          <w:smallCaps/>
        </w:rPr>
        <w:t>ad</w:t>
      </w:r>
      <w:r>
        <w:t xml:space="preserve"> 60-90)</w:t>
      </w:r>
    </w:p>
    <w:p w:rsidR="00F022AF" w:rsidRDefault="00F022AF" w:rsidP="00F022AF">
      <w:pPr>
        <w:pStyle w:val="BodyA"/>
        <w:ind w:left="720"/>
      </w:pPr>
      <w:r>
        <w:t xml:space="preserve">The period of institution (c. </w:t>
      </w:r>
      <w:r>
        <w:rPr>
          <w:smallCaps/>
        </w:rPr>
        <w:t>ad</w:t>
      </w:r>
      <w:r>
        <w:t xml:space="preserve"> 90-120)</w:t>
      </w:r>
    </w:p>
    <w:p w:rsidR="00F022AF" w:rsidRDefault="00F022AF" w:rsidP="00F022AF">
      <w:pPr>
        <w:pStyle w:val="BodyA"/>
      </w:pPr>
    </w:p>
    <w:p w:rsidR="00F022AF" w:rsidRDefault="00F022AF" w:rsidP="00F022AF">
      <w:pPr>
        <w:pStyle w:val="BodyA"/>
      </w:pPr>
      <w:r>
        <w:t>Mark wrote his text after the first generation of witnesses had all died or been killed. In itself, that was a kind of crisis. The Gospel was composed during the terrible time of the Jewish War (</w:t>
      </w:r>
      <w:r>
        <w:rPr>
          <w:smallCaps/>
        </w:rPr>
        <w:t>ad</w:t>
      </w:r>
      <w:r>
        <w:t xml:space="preserve"> 66-74), a cataclysmic event causing destruction, mayhem and dispersal. The text of Mark was published anonymously, about the year </w:t>
      </w:r>
      <w:proofErr w:type="spellStart"/>
      <w:r>
        <w:rPr>
          <w:smallCaps/>
        </w:rPr>
        <w:t>ad</w:t>
      </w:r>
      <w:proofErr w:type="spellEnd"/>
      <w:r>
        <w:t xml:space="preserve"> 70 to 71, in nearby Syria (near the war zone, in any case as can be deduced Mark 13). </w:t>
      </w:r>
    </w:p>
    <w:p w:rsidR="00F022AF" w:rsidRDefault="00F022AF" w:rsidP="00F022AF">
      <w:pPr>
        <w:pStyle w:val="BodyA"/>
      </w:pPr>
    </w:p>
    <w:p w:rsidR="00F022AF" w:rsidRDefault="00F022AF" w:rsidP="00F022AF">
      <w:pPr>
        <w:pStyle w:val="BodyA"/>
      </w:pPr>
      <w:r>
        <w:t xml:space="preserve">The context of writing was heavily marked by the Jewish War, the destruction of the Temple and widespread dislocation of people triggered by the War. The so-called </w:t>
      </w:r>
      <w:proofErr w:type="spellStart"/>
      <w:r>
        <w:rPr>
          <w:i/>
          <w:iCs/>
        </w:rPr>
        <w:t>Pax</w:t>
      </w:r>
      <w:proofErr w:type="spellEnd"/>
      <w:r>
        <w:rPr>
          <w:i/>
          <w:iCs/>
        </w:rPr>
        <w:t xml:space="preserve"> </w:t>
      </w:r>
      <w:proofErr w:type="spellStart"/>
      <w:r>
        <w:rPr>
          <w:i/>
          <w:iCs/>
        </w:rPr>
        <w:t>Romana</w:t>
      </w:r>
      <w:proofErr w:type="spellEnd"/>
      <w:r>
        <w:t xml:space="preserve"> was imposed with implacable force and ferocity. Mark’s audience was asking itself many questions.</w:t>
      </w:r>
    </w:p>
    <w:p w:rsidR="00F022AF" w:rsidRDefault="00F022AF" w:rsidP="00F022AF">
      <w:pPr>
        <w:pStyle w:val="BodyA"/>
      </w:pPr>
    </w:p>
    <w:p w:rsidR="00F022AF" w:rsidRDefault="00F022AF" w:rsidP="00F022AF">
      <w:pPr>
        <w:pStyle w:val="BodyA"/>
      </w:pPr>
      <w:r>
        <w:t xml:space="preserve">Mark wrote for a mixed church, made up of Jews and Gentiles. There were internal tensions about how much of Jewish tradition should be maintained (see Mark 7). </w:t>
      </w:r>
      <w:r>
        <w:lastRenderedPageBreak/>
        <w:t xml:space="preserve">The external challenges were the war, the loss of the Temple and the sacrificial system. Mark does not use the word church (found in the Gospels only in Matthew). It is also quite hard to discern in Mark any ecclesial infrastructure or even basic ministries. A clue to the “church” he wrote for is given by the frequency of the word “house” and the missionary outreach. The two Greek words for house are frequent: </w:t>
      </w:r>
      <w:proofErr w:type="spellStart"/>
      <w:r>
        <w:rPr>
          <w:i/>
          <w:iCs/>
        </w:rPr>
        <w:t>oikia</w:t>
      </w:r>
      <w:proofErr w:type="spellEnd"/>
      <w:r>
        <w:t xml:space="preserve"> occurs 13 times and </w:t>
      </w:r>
      <w:proofErr w:type="spellStart"/>
      <w:r>
        <w:rPr>
          <w:i/>
          <w:iCs/>
        </w:rPr>
        <w:t>oikos</w:t>
      </w:r>
      <w:proofErr w:type="spellEnd"/>
      <w:r>
        <w:t xml:space="preserve"> occurs 18 times, yielding total of 31 occurrences. Mark evidently wrote for house churches, small conventicles of the faithful, with a strong </w:t>
      </w:r>
      <w:proofErr w:type="gramStart"/>
      <w:r>
        <w:t>outward  or</w:t>
      </w:r>
      <w:proofErr w:type="gramEnd"/>
      <w:r>
        <w:t xml:space="preserve"> missionary impulse to bring the Good News to others. </w:t>
      </w:r>
    </w:p>
    <w:p w:rsidR="00F022AF" w:rsidRDefault="00F022AF" w:rsidP="00F022AF">
      <w:pPr>
        <w:pStyle w:val="BodyA"/>
      </w:pPr>
    </w:p>
    <w:p w:rsidR="00F022AF" w:rsidRDefault="00F022AF" w:rsidP="00F022AF">
      <w:pPr>
        <w:pStyle w:val="BodyA"/>
      </w:pPr>
      <w:r>
        <w:t xml:space="preserve">The implied questions behind the Gospel text may be </w:t>
      </w:r>
      <w:proofErr w:type="spellStart"/>
      <w:r>
        <w:t>summarised</w:t>
      </w:r>
      <w:proofErr w:type="spellEnd"/>
      <w:r>
        <w:t xml:space="preserve"> as follows: </w:t>
      </w:r>
    </w:p>
    <w:p w:rsidR="00F022AF" w:rsidRDefault="00F022AF" w:rsidP="00F022AF">
      <w:pPr>
        <w:pStyle w:val="BodyA"/>
      </w:pPr>
    </w:p>
    <w:p w:rsidR="00F022AF" w:rsidRDefault="00F022AF" w:rsidP="00F022AF">
      <w:pPr>
        <w:pStyle w:val="BodyA"/>
        <w:numPr>
          <w:ilvl w:val="0"/>
          <w:numId w:val="2"/>
        </w:numPr>
      </w:pPr>
      <w:r>
        <w:rPr>
          <w:b/>
          <w:bCs/>
        </w:rPr>
        <w:t>Faith</w:t>
      </w:r>
      <w:r>
        <w:t>: what do we believe about Jesus?</w:t>
      </w:r>
    </w:p>
    <w:p w:rsidR="00F022AF" w:rsidRDefault="00F022AF" w:rsidP="00F022AF">
      <w:pPr>
        <w:pStyle w:val="BodyA"/>
        <w:numPr>
          <w:ilvl w:val="0"/>
          <w:numId w:val="2"/>
        </w:numPr>
      </w:pPr>
      <w:r>
        <w:rPr>
          <w:b/>
          <w:bCs/>
        </w:rPr>
        <w:t>Praxis</w:t>
      </w:r>
      <w:r>
        <w:t>: how should we conduct ourselves as followers of Jesus?</w:t>
      </w:r>
    </w:p>
    <w:p w:rsidR="00F022AF" w:rsidRDefault="00F022AF" w:rsidP="00F022AF">
      <w:pPr>
        <w:pStyle w:val="BodyA"/>
        <w:numPr>
          <w:ilvl w:val="0"/>
          <w:numId w:val="2"/>
        </w:numPr>
      </w:pPr>
      <w:r>
        <w:rPr>
          <w:b/>
          <w:bCs/>
        </w:rPr>
        <w:t>Identity</w:t>
      </w:r>
      <w:r>
        <w:t>: who are we as disciples?</w:t>
      </w:r>
    </w:p>
    <w:p w:rsidR="00F022AF" w:rsidRDefault="00F022AF" w:rsidP="00F022AF">
      <w:pPr>
        <w:pStyle w:val="BodyA"/>
        <w:numPr>
          <w:ilvl w:val="0"/>
          <w:numId w:val="2"/>
        </w:numPr>
      </w:pPr>
      <w:r>
        <w:rPr>
          <w:b/>
          <w:bCs/>
        </w:rPr>
        <w:t>Community</w:t>
      </w:r>
      <w:r>
        <w:t>: how may the community best serve the Gospel message?</w:t>
      </w:r>
    </w:p>
    <w:p w:rsidR="00F022AF" w:rsidRDefault="00F022AF" w:rsidP="00F022AF">
      <w:pPr>
        <w:pStyle w:val="BodyA"/>
        <w:numPr>
          <w:ilvl w:val="0"/>
          <w:numId w:val="2"/>
        </w:numPr>
        <w:rPr>
          <w:b/>
          <w:bCs/>
        </w:rPr>
      </w:pPr>
      <w:r>
        <w:rPr>
          <w:b/>
          <w:bCs/>
        </w:rPr>
        <w:t xml:space="preserve">Message: </w:t>
      </w:r>
      <w:r>
        <w:t>what are proclaiming and how are we doing it?</w:t>
      </w:r>
    </w:p>
    <w:p w:rsidR="00F022AF" w:rsidRDefault="00F022AF" w:rsidP="00F022AF">
      <w:pPr>
        <w:pStyle w:val="BodyA"/>
      </w:pPr>
    </w:p>
    <w:p w:rsidR="00F022AF" w:rsidRDefault="00F022AF" w:rsidP="00F022AF">
      <w:pPr>
        <w:pStyle w:val="BodyA"/>
      </w:pPr>
      <w:r>
        <w:t xml:space="preserve">Such a grid is useful for us today, as we face our own crises. </w:t>
      </w:r>
    </w:p>
    <w:p w:rsidR="00F022AF" w:rsidRDefault="00F022AF" w:rsidP="00F022AF">
      <w:pPr>
        <w:pStyle w:val="BodyA"/>
      </w:pPr>
    </w:p>
    <w:p w:rsidR="00F022AF" w:rsidRDefault="00F022AF" w:rsidP="00F022AF">
      <w:pPr>
        <w:pStyle w:val="BodyA"/>
      </w:pPr>
      <w:r>
        <w:t xml:space="preserve">(ii) </w:t>
      </w:r>
      <w:r>
        <w:rPr>
          <w:b/>
          <w:bCs/>
        </w:rPr>
        <w:t>The culture of today</w:t>
      </w:r>
    </w:p>
    <w:p w:rsidR="00F022AF" w:rsidRDefault="00F022AF" w:rsidP="00F022AF">
      <w:pPr>
        <w:pStyle w:val="BodyA"/>
      </w:pPr>
    </w:p>
    <w:p w:rsidR="00F022AF" w:rsidRDefault="00F022AF" w:rsidP="00F022AF">
      <w:pPr>
        <w:pStyle w:val="BodyA"/>
      </w:pPr>
      <w:r>
        <w:t xml:space="preserve">Such questions of faith, practice, identity, community and message create a significant bridge to our experience today. We too are asking the very same questions. It may well be that Mark’s teaching could illuminate our times and challenge us as disciples today. We can see this straightaway in the confrontation about divorce. </w:t>
      </w:r>
    </w:p>
    <w:p w:rsidR="00F022AF" w:rsidRDefault="00F022AF" w:rsidP="00F022AF">
      <w:pPr>
        <w:pStyle w:val="BodyA"/>
      </w:pPr>
    </w:p>
    <w:p w:rsidR="00F022AF" w:rsidRDefault="00F022AF" w:rsidP="00F022AF">
      <w:pPr>
        <w:pStyle w:val="BodyA"/>
        <w:rPr>
          <w:b/>
          <w:bCs/>
        </w:rPr>
      </w:pPr>
      <w:r>
        <w:t xml:space="preserve">(iii) </w:t>
      </w:r>
      <w:r>
        <w:rPr>
          <w:b/>
          <w:bCs/>
        </w:rPr>
        <w:t>Reflections on today’s readings</w:t>
      </w:r>
    </w:p>
    <w:p w:rsidR="00F022AF" w:rsidRDefault="00F022AF" w:rsidP="00F022AF">
      <w:pPr>
        <w:pStyle w:val="BodyA"/>
        <w:rPr>
          <w:b/>
          <w:bCs/>
        </w:rPr>
      </w:pPr>
    </w:p>
    <w:p w:rsidR="00F022AF" w:rsidRDefault="00F022AF" w:rsidP="00F022AF">
      <w:pPr>
        <w:pStyle w:val="BodyA"/>
      </w:pPr>
      <w:r>
        <w:t xml:space="preserve">Today’s first reading and Gospel might not immediately seem pertinent to the </w:t>
      </w:r>
      <w:proofErr w:type="spellStart"/>
      <w:r>
        <w:t>synodal</w:t>
      </w:r>
      <w:proofErr w:type="spellEnd"/>
      <w:r>
        <w:t xml:space="preserve"> process, being focused narrowly on the union of man and woman in marriage. At the same time, they are a good reminder that living the vocation of marriage is the calling of the vast majority of believers. Their experience, with all the challenges of today and the normal ups and downs of married life, must be acknowledged and affirmed. The </w:t>
      </w:r>
      <w:proofErr w:type="spellStart"/>
      <w:r>
        <w:t>synodal</w:t>
      </w:r>
      <w:proofErr w:type="spellEnd"/>
      <w:r>
        <w:t xml:space="preserve"> process itself has brought the voices of ordinary believers to bear on the deliberations of those attending the synod. Even more, the inclusion of up to 70 non-episcopal voting members, both lay men and lay women, will mean that the ordinary experience of grace in family and married life will indeed be part of the discernment process. For which we give thanks. </w:t>
      </w:r>
    </w:p>
    <w:p w:rsidR="00F022AF" w:rsidRDefault="00F022AF" w:rsidP="00F022AF">
      <w:pPr>
        <w:pStyle w:val="BodyA"/>
      </w:pPr>
    </w:p>
    <w:p w:rsidR="00F022AF" w:rsidRDefault="00F022AF" w:rsidP="00F022AF">
      <w:pPr>
        <w:pStyle w:val="BodyA"/>
      </w:pPr>
      <w:r>
        <w:t>Because Judaism allowed divorce and because early Christians also made some exceptions (Paul and Matthew being the usually cited instances), the prohibition on divorce almost certainly goes back to the historical Jesus. The prohibition has been interpreted as a kind of law but the historical Jesus did not typically “legislate”. He did, however, uphold very high ideals, always in the context of human frailty and divine compassion. A good example would be the Beatitudes in Matthew 5:1-12 and also the teaching in the chapter marked by “you have heard it said” “but I say to you.” (Matthew 5:21-48)</w:t>
      </w:r>
    </w:p>
    <w:p w:rsidR="00F022AF" w:rsidRDefault="00F022AF" w:rsidP="00F022AF">
      <w:pPr>
        <w:pStyle w:val="BodyA"/>
      </w:pPr>
    </w:p>
    <w:p w:rsidR="00F022AF" w:rsidRDefault="00F022AF" w:rsidP="00F022AF">
      <w:pPr>
        <w:pStyle w:val="BodyA"/>
      </w:pPr>
      <w:r>
        <w:lastRenderedPageBreak/>
        <w:t xml:space="preserve">In the cultural context of the time, the restoration of the ideal of life-long marriage was a counter-voice to the vulnerable position of women, subject to arbitrary dismissal (the rabbis did discuss the grounds for divorce) and consequent social disgrace. </w:t>
      </w:r>
    </w:p>
    <w:p w:rsidR="00F022AF" w:rsidRDefault="00F022AF" w:rsidP="00F022AF">
      <w:pPr>
        <w:pStyle w:val="BodyA"/>
      </w:pPr>
    </w:p>
    <w:p w:rsidR="00F022AF" w:rsidRDefault="00F022AF" w:rsidP="00F022AF">
      <w:pPr>
        <w:pStyle w:val="BodyA"/>
      </w:pPr>
      <w:r>
        <w:t xml:space="preserve">From this </w:t>
      </w:r>
      <w:proofErr w:type="spellStart"/>
      <w:r>
        <w:t>contextualised</w:t>
      </w:r>
      <w:proofErr w:type="spellEnd"/>
      <w:r>
        <w:t xml:space="preserve"> reading, we can learn a few things for </w:t>
      </w:r>
      <w:proofErr w:type="spellStart"/>
      <w:r>
        <w:t>toda</w:t>
      </w:r>
      <w:proofErr w:type="spellEnd"/>
      <w:r>
        <w:t xml:space="preserve">. Firstly, Jesus was an idealist, calling those who heard him back to the original teaching and ideal of life-long fidelity in marriage. In other words, he was a radical, who did not feel bound by recent tradition, which did permit divorce, sometimes in an arbitrary way. At the same time, Jesus was not at all for imposing impossible burdens on people. </w:t>
      </w:r>
    </w:p>
    <w:p w:rsidR="00F022AF" w:rsidRDefault="00F022AF" w:rsidP="00F022AF">
      <w:pPr>
        <w:pStyle w:val="BodyA"/>
      </w:pPr>
    </w:p>
    <w:p w:rsidR="00F022AF" w:rsidRDefault="00F022AF" w:rsidP="00F022AF">
      <w:pPr>
        <w:pStyle w:val="BodyA"/>
        <w:ind w:left="720"/>
      </w:pPr>
      <w:r>
        <w:t xml:space="preserve">Then Jesus said to the crowds and to his disciples, </w:t>
      </w:r>
      <w:r>
        <w:rPr>
          <w:rFonts w:ascii="Arial Unicode MS" w:hAnsi="Arial Unicode MS"/>
          <w:rtl/>
          <w:lang w:val="ar-SA"/>
        </w:rPr>
        <w:t>“</w:t>
      </w:r>
      <w:r>
        <w:t>The scribes and the Pharisees sit on Moses</w:t>
      </w:r>
      <w:r>
        <w:rPr>
          <w:rFonts w:ascii="Arial Unicode MS" w:hAnsi="Arial Unicode MS"/>
        </w:rPr>
        <w:t>’</w:t>
      </w:r>
      <w:r>
        <w:t>s seat; therefore, do whatever they teach you and follow it, but do not do as they do, for they do not practice what they teach. They tie up heavy burdens, hard to bear, and lay them on the shoulders of others, but they themselves are unwilling to lift a finger to move them.  (Matthew 23:1-4)</w:t>
      </w:r>
    </w:p>
    <w:p w:rsidR="00F022AF" w:rsidRDefault="00F022AF" w:rsidP="00F022AF">
      <w:pPr>
        <w:pStyle w:val="BodyA"/>
      </w:pPr>
      <w:r>
        <w:t xml:space="preserve">This complex juxtaposition of idealism, realism and compassion is perhaps something we need to hear today in the wider context of the renewal of church. The </w:t>
      </w:r>
      <w:proofErr w:type="spellStart"/>
      <w:r>
        <w:t>synodal</w:t>
      </w:r>
      <w:proofErr w:type="spellEnd"/>
      <w:r>
        <w:t xml:space="preserve"> voices have called for just such a negotiation of idealism, realism and compassion. </w:t>
      </w:r>
    </w:p>
    <w:p w:rsidR="00F022AF" w:rsidRDefault="00F022AF" w:rsidP="00F022AF">
      <w:pPr>
        <w:pStyle w:val="BodyA"/>
        <w:ind w:left="3118" w:hanging="3118"/>
      </w:pPr>
      <w:r>
        <w:rPr>
          <w:rFonts w:ascii="Arial Unicode MS" w:hAnsi="Arial Unicode MS"/>
        </w:rPr>
        <w:br w:type="page"/>
      </w:r>
    </w:p>
    <w:p w:rsidR="00734FBA" w:rsidRDefault="00064691"/>
    <w:sectPr w:rsidR="00734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C5C8B"/>
    <w:multiLevelType w:val="hybridMultilevel"/>
    <w:tmpl w:val="0396E662"/>
    <w:styleLink w:val="ImportedStyle1"/>
    <w:lvl w:ilvl="0" w:tplc="FFB44A9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1" w:tplc="1542DAE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2" w:tplc="8940011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3" w:tplc="0F522D5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4" w:tplc="9ABCBAF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5" w:tplc="0646FEC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6" w:tplc="AFF838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7" w:tplc="CB1A5D6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8" w:tplc="7672598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17"/>
        <w:szCs w:val="17"/>
        <w:highlight w:val="none"/>
        <w:vertAlign w:val="baseline"/>
      </w:rPr>
    </w:lvl>
  </w:abstractNum>
  <w:abstractNum w:abstractNumId="1" w15:restartNumberingAfterBreak="0">
    <w:nsid w:val="7A752753"/>
    <w:multiLevelType w:val="hybridMultilevel"/>
    <w:tmpl w:val="0396E662"/>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AF"/>
    <w:rsid w:val="00064691"/>
    <w:rsid w:val="004B7263"/>
    <w:rsid w:val="00515EBA"/>
    <w:rsid w:val="00F022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80F3"/>
  <w15:chartTrackingRefBased/>
  <w15:docId w15:val="{DACFE340-D64B-40A6-B253-85385480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F022AF"/>
    <w:pPr>
      <w:pBdr>
        <w:top w:val="nil"/>
        <w:left w:val="nil"/>
        <w:bottom w:val="nil"/>
        <w:right w:val="nil"/>
        <w:between w:val="nil"/>
        <w:bar w:val="nil"/>
      </w:pBdr>
      <w:spacing w:after="0" w:line="240" w:lineRule="auto"/>
    </w:pPr>
    <w:rPr>
      <w:rFonts w:ascii="Trebuchet MS" w:eastAsia="Arial Unicode MS" w:hAnsi="Trebuchet MS" w:cs="Arial Unicode MS"/>
      <w:color w:val="000000"/>
      <w:sz w:val="24"/>
      <w:szCs w:val="24"/>
      <w:u w:color="000000"/>
      <w:bdr w:val="nil"/>
      <w:lang w:val="en-US" w:eastAsia="en-IE"/>
      <w14:textOutline w14:w="12700" w14:cap="flat" w14:cmpd="sng" w14:algn="ctr">
        <w14:noFill/>
        <w14:prstDash w14:val="solid"/>
        <w14:miter w14:lim="400000"/>
      </w14:textOutline>
    </w:rPr>
  </w:style>
  <w:style w:type="numbering" w:customStyle="1" w:styleId="ImportedStyle1">
    <w:name w:val="Imported Style 1"/>
    <w:rsid w:val="00F022AF"/>
    <w:pPr>
      <w:numPr>
        <w:numId w:val="1"/>
      </w:numPr>
    </w:pPr>
  </w:style>
  <w:style w:type="character" w:styleId="Hyperlink">
    <w:name w:val="Hyperlink"/>
    <w:basedOn w:val="DefaultParagraphFont"/>
    <w:uiPriority w:val="99"/>
    <w:unhideWhenUsed/>
    <w:rsid w:val="00F022AF"/>
    <w:rPr>
      <w:color w:val="0563C1" w:themeColor="hyperlink"/>
      <w:u w:val="single"/>
    </w:rPr>
  </w:style>
  <w:style w:type="character" w:styleId="FollowedHyperlink">
    <w:name w:val="FollowedHyperlink"/>
    <w:basedOn w:val="DefaultParagraphFont"/>
    <w:uiPriority w:val="99"/>
    <w:semiHidden/>
    <w:unhideWhenUsed/>
    <w:rsid w:val="000646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zzsprout.com/2119621/157492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Henry</dc:creator>
  <cp:keywords/>
  <dc:description/>
  <cp:lastModifiedBy>Peter Henry</cp:lastModifiedBy>
  <cp:revision>2</cp:revision>
  <dcterms:created xsi:type="dcterms:W3CDTF">2024-10-01T17:04:00Z</dcterms:created>
  <dcterms:modified xsi:type="dcterms:W3CDTF">2024-10-01T17:11:00Z</dcterms:modified>
</cp:coreProperties>
</file>